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200"/>
        <w:jc w:val="center"/>
      </w:pPr>
      <w:r>
        <w:rPr>
          <w:rFonts w:ascii="Calibri" w:cs="Calibri" w:eastAsia="Calibri" w:hAnsi="Calibri"/>
          <w:b/>
          <w:bCs/>
          <w:color w:val="111111"/>
          <w:spacing w:val="20"/>
          <w:sz w:val="30"/>
          <w:szCs w:val="30"/>
        </w:rPr>
        <w:t xml:space="preserve">ACUERDO MARCO</w:t>
      </w:r>
    </w:p>
    <w:p>
      <w:pPr>
        <w:spacing w:after="160"/>
        <w:jc w:val="center"/>
      </w:pPr>
      <w:r>
        <w:rPr>
          <w:rFonts w:ascii="Calibri" w:cs="Calibri" w:eastAsia="Calibri" w:hAnsi="Calibri"/>
          <w:color w:val="555555"/>
          <w:spacing w:val="10"/>
          <w:sz w:val="20"/>
          <w:szCs w:val="20"/>
        </w:rPr>
        <w:t xml:space="preserve">DE COLABORACIÓN Y DESARROLLO DE NEGOCIOS</w:t>
      </w:r>
    </w:p>
    <w:p>
      <w:pPr>
        <w:pBdr>
          <w:bottom w:val="single" w:color="9A7B1F" w:sz="6" w:space="1"/>
        </w:pBdr>
        <w:spacing w:after="200" w:before="160"/>
      </w:pPr>
      <w:r>
        <w:rPr>
          <w:sz w:val="2"/>
          <w:szCs w:val="2"/>
        </w:rPr>
        <w:t xml:space="preserve"/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Entre: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GASTÓN MARCHETTO, DNI N.º ____________________, en adelante “MARCHETTO”;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FEDERICO HERNÁN PINO, DNI N.º ____________________, en adelante “PINO”;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y</w:t>
      </w:r>
    </w:p>
    <w:p>
      <w:pPr>
        <w:keepNext w:val="false"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Nombre y apellido / Razón Social: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</w:t>
      </w:r>
    </w:p>
    <w:p>
      <w:pPr>
        <w:keepNext w:val="false"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DNI / CUIT / CUIL N.º: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</w:t>
      </w:r>
    </w:p>
    <w:p>
      <w:pPr>
        <w:keepNext w:val="false"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Domicilio: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____________________________________________________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en adelante “LA CONTRAPARTE”;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conjuntamente denominados “LAS PARTES”, se celebra el presente ACUERDO MARCO DE COLABORACIÓN Y DESARROLLO DE NEGOCIOS, sujeto a las siguientes cláusulas: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PRIMERA — OBJETO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El presente Acuerdo tiene por objeto establecer un marco general de colaboración entre LAS PARTES para la identificación, presentación, análisis, estructuración, negociación, desarrollo, intermediación y/o ejecución de oportunidades comerciales, empresariales, profesionales, industriales, financieras, tecnológicas, inmobiliarias, energéticas, mineras, petroleras, de servicios, inversiones, representaciones, distribución, importación, exportación, licitaciones, proyectos públicos o privados y cualquier otra actividad lícita que pudiera resultar de interés común.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El presente Acuerdo no se limita a una actividad, industria, territorio o proyecto determinado.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SEGUNDA — NEGOCIOS ESPECÍFICOS Y ACUERDOS PARTICULARES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Cada oportunidad o negocio concreto que LAS PARTES decidan desarrollar deberá ser documentado, cuando genere obligaciones económicas, comerciales o de ejecución, mediante un Anexo o Acuerdo Particular escrito y firmado por las partes intervinientes.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Dicho instrumento deberá establecer, según corresponda: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identificación y descripción del negocio;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objeto y alcance;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partes efectivamente intervinientes;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funciones y responsabilidades;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aportes de capital, activos, contactos, conocimientos, gestiones o recursos;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porcentajes de participación;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honorarios, comisiones, utilidades o beneficios económicos;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forma y fecha de pago;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moneda de pago, cuando corresponda;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gastos e impuestos;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exclusividad, si correspondiera;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territorio;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duración;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condiciones necesarias para considerar concretada o cerrada la operación;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causales y condiciones de terminación;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tratamiento de operaciones pendientes al momento de la terminación;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y cualquier otra condición particular que LAS PARTES consideren necesaria.</w:t>
      </w:r>
    </w:p>
    <w:p>
      <w:pPr>
        <w:spacing w:after="80"/>
      </w:pPr>
      <w:r>
        <w:rPr>
          <w:sz w:val="12"/>
          <w:szCs w:val="12"/>
        </w:rPr>
        <w:t xml:space="preserve"/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Los Anexos o Acuerdos Particulares complementarán el presente Acuerdo Marco y prevalecerán sobre éste exclusivamente respecto del negocio particular al que se refieran.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TERCERA — AUSENCIA DE OBLIGACIÓN DE CONTRATAR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 firma del presente Acuerdo no obliga a ninguna de LAS PARTES a participar, financiar, invertir, garantizar, ejecutar o aceptar una oportunidad de negocio determinada.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 presentación, análisis, intercambio de información o participación en reuniones respecto de una oportunidad no implicará por sí sola aceptación del negocio ni generará obligación de contratar.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Cada negocio deberá ser evaluado individualmente.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CUARTA — PRESENTACIÓN DE OPORTUNIDADES Y CONTACTOS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Cuando cualquiera de LAS PARTES presente una oportunidad, cliente, inversor, proveedor, empresa, organismo, profesional, intermediario, contacto comercial o proyecto, deberá reconocerse la intervención de quien hubiera realizado dicha presentación.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A efectos de evitar controversias, LAS PARTES procurarán dejar constancia escrita de las presentaciones efectuadas. Podrán utilizarse como medios de acreditación, entre otros: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correo electrónico;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mensajes de WhatsApp u otros sistemas de mensajería;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comunicaciones electrónicas;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anexos;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actas;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documentos firmados;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intercambio de información comercial;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o cualquier otro medio escrito o electrónico que permita identificar razonablemente la presentación, su fecha y la persona que la efectuó.</w:t>
      </w:r>
    </w:p>
    <w:p>
      <w:pPr>
        <w:spacing w:after="80"/>
      </w:pPr>
      <w:r>
        <w:rPr>
          <w:sz w:val="12"/>
          <w:szCs w:val="12"/>
        </w:rPr>
        <w:t xml:space="preserve"/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 existencia de una presentación acreditada no generará por sí sola derecho a honorarios, comisiones o participaciones económicas, los cuales deberán establecerse conforme a la Cláusula Sexta.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QUINTA — NO CIRCUNVENCIÓN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Ninguna de LAS PARTES podrá utilizar directa o indirectamente los contactos, oportunidades, clientes, proveedores, inversores, empresas, organismos o relaciones comerciales presentados por otra PARTE con el propósito de excluirla deliberadamente de una operación derivada de dicha presentación.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Para invocar la protección establecida en esta cláusula deberá poder acreditarse razonablemente la presentación previa conforme a los medios establecidos en la Cláusula Cuarta.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 prohibición comprende operaciones realizadas directamente o mediante sociedades, socios, representantes, intermediarios, empleados, terceros vinculados o estructuras utilizadas con el propósito de eludir la intervención de la PARTE que originó o presentó la oportunidad.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 presente cláusula no implica automáticamente reconocimiento de participación económica alguna, que deberá encontrarse expresamente establecida en el correspondiente Acuerdo Particular.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SEXTA — PARTICIPACIÓN ECONÓMICA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Los porcentajes de participación, honorarios, comisiones, utilidades, premios, success fees, compensaciones o cualquier otro beneficio económico deberán establecerse expresamente para cada negocio concreto mediante un Anexo o Acuerdo Particular escrito y firmado por las partes que intervengan en dicho negocio.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Ninguna de LAS PARTES podrá reclamar honorarios, comisiones, porcentajes, utilidades, participaciones o cualquier otro beneficio económico si dicho derecho no hubiera sido previamente establecido mediante el correspondiente Acuerdo Particular escrito y firmado.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 sola presentación de un contacto, participación en reuniones, intercambio de información, realización de gestiones preliminares o intervención en negociaciones no generará automáticamente derecho económico alguno.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El Acuerdo Particular deberá determinar, cuando corresponda: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monto o porcentaje;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base sobre la cual se calcula;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moneda;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momento en que nace el derecho al cobro;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condición que debe cumplirse;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responsable del pago;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fecha o plazo de pago;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impuestos y gastos aplicables.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SÉPTIMA — CONFIDENCIALIDAD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Toda información comercial, financiera, estratégica, técnica, societaria, contractual o de cualquier otra naturaleza que una PARTE entregue a otra y que razonablemente deba considerarse confidencial será utilizada exclusivamente para analizar o desarrollar las oportunidades contempladas en este Acuerdo.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LAS PARTES se obligan a no divulgar dicha información a terceros sin autorización, excepto cuando resulte necesario para el desarrollo del negocio o exista obligación legal o judicial.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Esta obligación continuará vigente aun después de la terminación del presente Acuerdo respecto de la información recibida durante su vigencia.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OCTAVA — DOCUMENTACIÓN, INFORMACIÓN Y VERIFICACIÓN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Cada PARTE será responsable por la autenticidad, exactitud y legitimidad de la documentación, información, antecedentes y declaraciones que aporte.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 recepción o análisis de documentación por cualquiera de las otras PARTES no implicará certificación, garantía ni aceptación automática de su autenticidad, solvencia, legalidad o viabilidad.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LAS PARTES podrán realizar verificaciones legales, contables, fiscales, comerciales, técnicas, financieras y reputacionales antes de avanzar con cualquier operación.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NOVENA — INDEPENDENCIA DE LAS PARTES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El presente Acuerdo no constituye por sí mismo sociedad, unión transitoria, relación laboral, mandato general, representación, franquicia, agencia ni asociación permanente entre LAS PARTES.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Ninguna PARTE podrá asumir obligaciones, contraer deudas, efectuar declaraciones, recibir dinero, firmar contratos o comprometer jurídicamente a otra sin autorización previa y expresa.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DÉCIMA — USO DE NOMBRES, IMAGEN Y DOCUMENTACIÓN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Ninguna PARTE podrá utilizar el nombre, imagen, marca, documentación, antecedentes comerciales, logotipos o identidad de otra PARTE para realizar presentaciones públicas, solicitar fondos, asumir compromisos, efectuar publicidad o celebrar operaciones sin autorización previa.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Asimismo, ninguna PARTE podrá presentarse frente a terceros como representante, mandatario, socio o apoderado de otra salvo autorización expresa.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DÉCIMA PRIMERA — RECEPCIÓN, ADMINISTRACIÓN Y MOVIMIENTO DE FONDOS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Cuando una operación implique recepción, administración, transferencia, inversión o custodia de fondos, las condiciones deberán quedar expresamente documentadas en el correspondiente Acuerdo Particular.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Ninguna PARTE estará autorizada por este Acuerdo Marco a recibir, administrar, disponer o transferir fondos en nombre de otra.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DÉCIMA SEGUNDA — BUENA FE, TRANSPARENCIA Y CONFLICTOS DE INTERÉS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LAS PARTES manifiestan su intención de desarrollar las oportunidades comerciales bajo principios de buena fe, transparencia, cooperación y beneficio mutuo.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Toda circunstancia que pudiera generar un conflicto de intereses relevante deberá ser comunicada oportunamente a las demás PARTES involucradas en la operación.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DÉCIMA TERCERA — DURACIÓN Y TERMINACIÓN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El presente Acuerdo tendrá una duración inicial de dos (2) años contados desde su firma.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Sin perjuicio de ello, cualquiera de LAS PARTES podrá darlo por terminado en cualquier momento y sin necesidad de expresar causa, mediante notificación escrita a las demás PARTES con una anticipación mínima de treinta (30) días corridos.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 terminación del presente Acuerdo Marco no afectará:</w:t>
      </w:r>
    </w:p>
    <w:p>
      <w:pPr>
        <w:spacing w:after="60" w:line="276"/>
        <w:ind w:left="360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a) los derechos y obligaciones ya generados mediante Acuerdos Particulares;</w:t>
      </w:r>
    </w:p>
    <w:p>
      <w:pPr>
        <w:spacing w:after="60" w:line="276"/>
        <w:ind w:left="360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b) las operaciones que se encuentren en ejecución y cuenten con un Acuerdo Particular vigente;</w:t>
      </w:r>
    </w:p>
    <w:p>
      <w:pPr>
        <w:spacing w:after="60" w:line="276"/>
        <w:ind w:left="360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c) las obligaciones de confidencialidad;</w:t>
      </w:r>
    </w:p>
    <w:p>
      <w:pPr>
        <w:spacing w:after="60" w:line="276"/>
        <w:ind w:left="360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d) las obligaciones de no circunvención correspondientes a oportunidades presentadas durante la vigencia del Acuerdo;</w:t>
      </w:r>
    </w:p>
    <w:p>
      <w:pPr>
        <w:spacing w:after="60" w:line="276"/>
        <w:ind w:left="360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e) las obligaciones económicas que ya hubieran nacido conforme a un Acuerdo Particular.</w:t>
      </w:r>
    </w:p>
    <w:p>
      <w:pPr>
        <w:spacing w:after="60"/>
      </w:pPr>
      <w:r>
        <w:rPr>
          <w:sz w:val="12"/>
          <w:szCs w:val="12"/>
        </w:rPr>
        <w:t xml:space="preserve"/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Las condiciones aplicables a cada negocio después de la terminación del presente Acuerdo Marco serán las establecidas en su respectivo Anexo o Acuerdo Particular.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DÉCIMA CUARTA — INCORPORACIÓN DE TERCEROS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LAS PARTES podrán incorporar personas humanas o jurídicas adicionales a negocios determinados.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 incorporación de un tercero a una operación particular no implicará automáticamente su incorporación a otros negocios ni al resto de las relaciones existentes entre LAS PARTES.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Cada tercero deberá suscribir el instrumento correspondiente cuando pretenda adquirir derechos u obligaciones dentro de una operación.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DÉCIMA QUINTA — PREVALENCIA DE LOS ACUERDOS PARTICULARES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Cada negocio deberá contar, antes de comenzar su ejecución cuando existan obligaciones económicas o comerciales, con condiciones suficientemente documentadas.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En caso de contradicción entre este Acuerdo Marco y un Acuerdo Particular, prevalecerá el Acuerdo Particular exclusivamente respecto del negocio específico que regula.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 existencia del presente Acuerdo Marco no podrá utilizarse para presumir condiciones económicas, porcentajes, exclusividades u obligaciones que no hayan sido expresamente acordadas.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DÉCIMA SEXTA — LEY APLICABLE Y JURISDICCIÓN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El presente Acuerdo se regirá e interpretará conforme a las leyes de la República Argentina.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Ante cualquier diferencia o controversia, LAS PARTES procurarán inicialmente resolverla mediante negociación directa y de buena fe. Cuando corresponda legalmente, se cumplirá previamente con la instancia de mediación obligatoria aplicable.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Para cualquier cuestión judicial derivada de la interpretación, cumplimiento, incumplimiento, ejecución o terminación del presente Acuerdo, LAS PARTES se someten a la competencia de los Tribunales Ordinarios competentes con asiento en la Ciudad Autónoma de Buenos Aires, con renuncia a cualquier otro fuero o jurisdicción que pudiera corresponder, salvo aquellos casos en los que la competencia resulte legalmente improrrogable.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DÉCIMA SÉPTIMA — MODIFICACIONES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Toda modificación sustancial del presente Acuerdo deberá realizarse por escrito y contar con la conformidad de LAS PARTES involucradas.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Los Anexos y Acuerdos Particulares podrán ser suscriptos exclusivamente por quienes participen del negocio correspondiente, sin necesidad de modificar el presente Acuerdo Marco.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DÉCIMA OCTAVA — CONSTANCIA DE LAS OPERACIONES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LAS PARTES procurarán documentar las decisiones relevantes de cada negocio, particularmente aquellas relacionadas con: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incorporación o retiro de participantes;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porcentajes;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comisiones;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aportes;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modificaciones económicas;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autorizaciones para recibir fondos;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cierre de operaciones;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Garamond" w:cs="Garamond" w:eastAsia="Garamond" w:hAnsi="Garamond"/>
          <w:sz w:val="21"/>
          <w:szCs w:val="21"/>
        </w:rPr>
        <w:t xml:space="preserve">y modificaciones de las condiciones inicialmente pactadas.</w:t>
      </w:r>
    </w:p>
    <w:p>
      <w:pPr>
        <w:spacing w:after="80"/>
      </w:pPr>
      <w:r>
        <w:rPr>
          <w:sz w:val="12"/>
          <w:szCs w:val="12"/>
        </w:rPr>
        <w:t xml:space="preserve"/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Las comunicaciones electrónicas podrán utilizarse como elementos de prueba respecto de las gestiones realizadas, sin perjuicio de que las obligaciones económicas deberán instrumentarse conforme a lo establecido en la Cláusula Sexta.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11111"/>
          <w:spacing w:val="12"/>
          <w:sz w:val="22"/>
          <w:szCs w:val="22"/>
        </w:rPr>
        <w:t xml:space="preserve">DÉCIMA NOVENA — FIRMA</w:t>
      </w:r>
    </w:p>
    <w:p>
      <w:pPr>
        <w:spacing w:after="120" w:line="276"/>
        <w:jc w:val="both"/>
      </w:pPr>
      <w:r>
        <w:rPr>
          <w:rFonts w:ascii="Garamond" w:cs="Garamond" w:eastAsia="Garamond" w:hAnsi="Garamond"/>
          <w:b w:val="false"/>
          <w:bCs w:val="false"/>
          <w:i w:val="false"/>
          <w:iCs w:val="false"/>
          <w:sz w:val="21"/>
          <w:szCs w:val="21"/>
        </w:rPr>
        <w:t xml:space="preserve">Leído y aceptado el presente Acuerdo, LAS PARTES firman ejemplares de un mismo tenor y a un solo efecto, en la Ciudad Autónoma de Buenos Aires, a los ______ días del mes de __________________ de 20______.</w:t>
      </w:r>
    </w:p>
    <w:p>
      <w:pPr>
        <w:spacing w:after="40" w:before="380"/>
      </w:pPr>
      <w:r>
        <w:rPr>
          <w:rFonts w:ascii="Garamond" w:cs="Garamond" w:eastAsia="Garamond" w:hAnsi="Garamond"/>
          <w:color w:val="666666"/>
          <w:sz w:val="21"/>
          <w:szCs w:val="21"/>
        </w:rPr>
        <w:t xml:space="preserve">______________________________________________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GASTÓN MARCHETTO</w:t>
      </w:r>
    </w:p>
    <w:p>
      <w:pPr>
        <w:spacing w:after="20"/>
      </w:pPr>
      <w:r>
        <w:rPr>
          <w:rFonts w:ascii="Garamond" w:cs="Garamond" w:eastAsia="Garamond" w:hAnsi="Garamond"/>
          <w:color w:val="444444"/>
          <w:sz w:val="19"/>
          <w:szCs w:val="19"/>
        </w:rPr>
        <w:t xml:space="preserve">DNI N.º ____________________</w:t>
      </w:r>
    </w:p>
    <w:p>
      <w:pPr>
        <w:spacing w:after="40" w:before="380"/>
      </w:pPr>
      <w:r>
        <w:rPr>
          <w:rFonts w:ascii="Garamond" w:cs="Garamond" w:eastAsia="Garamond" w:hAnsi="Garamond"/>
          <w:color w:val="666666"/>
          <w:sz w:val="21"/>
          <w:szCs w:val="21"/>
        </w:rPr>
        <w:t xml:space="preserve">______________________________________________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FEDERICO HERNÁN PINO</w:t>
      </w:r>
    </w:p>
    <w:p>
      <w:pPr>
        <w:spacing w:after="20"/>
      </w:pPr>
      <w:r>
        <w:rPr>
          <w:rFonts w:ascii="Garamond" w:cs="Garamond" w:eastAsia="Garamond" w:hAnsi="Garamond"/>
          <w:color w:val="444444"/>
          <w:sz w:val="19"/>
          <w:szCs w:val="19"/>
        </w:rPr>
        <w:t xml:space="preserve">DNI N.º ____________________</w:t>
      </w:r>
    </w:p>
    <w:p>
      <w:pPr>
        <w:spacing w:after="120" w:before="3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CONTRAPARTE</w:t>
      </w:r>
    </w:p>
    <w:p>
      <w:pPr>
        <w:keepNext w:val="false"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Nombre y apellido / Razón Social: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</w:t>
      </w:r>
    </w:p>
    <w:p>
      <w:pPr>
        <w:keepNext w:val="false"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DNI / CUIT / CUIL: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____________________________________________</w:t>
      </w:r>
    </w:p>
    <w:p>
      <w:pPr>
        <w:keepNext w:val="false"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Cargo y representación, si corresponde: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</w:t>
      </w:r>
    </w:p>
    <w:p>
      <w:pPr>
        <w:keepNext w:val="false"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Domicilio: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____________________________________________________</w:t>
      </w:r>
    </w:p>
    <w:p>
      <w:pPr>
        <w:keepNext w:val="false"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Correo electrónico: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___________________________________________</w:t>
      </w:r>
    </w:p>
    <w:p>
      <w:pPr>
        <w:keepNext w:val="false"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Teléfono / WhatsApp: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__________________________________________</w:t>
      </w:r>
    </w:p>
    <w:p>
      <w:pPr>
        <w:keepNext w:val="false"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Firma: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________________________________________________________</w:t>
      </w:r>
    </w:p>
    <w:p>
      <w:pPr>
        <w:keepNext w:val="false"/>
        <w:keepLines/>
        <w:spacing w:after="90"/>
      </w:pPr>
      <w:r>
        <w:rPr>
          <w:rFonts w:ascii="Garamond" w:cs="Garamond" w:eastAsia="Garamond" w:hAnsi="Garamond"/>
          <w:sz w:val="21"/>
          <w:szCs w:val="21"/>
        </w:rPr>
        <w:t xml:space="preserve">Aclaración: </w:t>
      </w:r>
      <w:r>
        <w:rPr>
          <w:rFonts w:ascii="Garamond" w:cs="Garamond" w:eastAsia="Garamond" w:hAnsi="Garamond"/>
          <w:color w:val="888888"/>
          <w:sz w:val="21"/>
          <w:szCs w:val="21"/>
        </w:rPr>
        <w:t xml:space="preserve">___________________________________________________</w:t>
      </w:r>
    </w:p>
    <w:sectPr>
      <w:headerReference w:type="default" r:id="rId7"/>
      <w:footerReference w:type="default" r:id="rId8"/>
      <w:pgSz w:w="11906" w:h="16838" w:orient="portrait"/>
      <w:pgMar w:top="12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6"/>
      </w:pBdr>
      <w:jc w:val="center"/>
    </w:pPr>
    <w:r>
      <w:rPr>
        <w:rFonts w:ascii="Calibri" w:cs="Calibri" w:eastAsia="Calibri" w:hAnsi="Calibri"/>
        <w:color w:val="888888"/>
        <w:sz w:val="14"/>
        <w:szCs w:val="14"/>
      </w:rPr>
      <w:t xml:space="preserve">Acuerdo Marco de Colaboración y Desarrollo de Negocios  ·  Página </w:t>
    </w:r>
    <w:r>
      <w:rPr>
        <w:rFonts w:ascii="Calibri" w:cs="Calibri" w:eastAsia="Calibri" w:hAnsi="Calibri"/>
        <w:color w:val="88888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4"/>
        <w:szCs w:val="14"/>
      </w:rPr>
      <w:t xml:space="preserve"> de </w:t>
    </w:r>
    <w:r>
      <w:rPr>
        <w:rFonts w:ascii="Calibri" w:cs="Calibri" w:eastAsia="Calibri" w:hAnsi="Calibri"/>
        <w:color w:val="888888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rFonts w:ascii="Calibri" w:cs="Calibri" w:eastAsia="Calibri" w:hAnsi="Calibri"/>
        <w:b/>
        <w:bCs/>
        <w:color w:val="9A7B1F"/>
        <w:spacing w:val="40"/>
        <w:sz w:val="18"/>
        <w:szCs w:val="18"/>
      </w:rPr>
      <w:t xml:space="preserve">ANDES MINING ASSETS</w:t>
    </w:r>
  </w:p>
  <w:p>
    <w:pPr>
      <w:pBdr>
        <w:bottom w:val="single" w:color="CCCCCC" w:sz="4" w:space="4"/>
      </w:pBdr>
      <w:spacing w:after="60"/>
      <w:jc w:val="center"/>
    </w:pPr>
    <w:r>
      <w:rPr>
        <w:rFonts w:ascii="Calibri" w:cs="Calibri" w:eastAsia="Calibri" w:hAnsi="Calibri"/>
        <w:color w:val="777777"/>
        <w:spacing w:val="14"/>
        <w:sz w:val="14"/>
        <w:szCs w:val="14"/>
      </w:rPr>
      <w:t xml:space="preserve">Minería · Petróleo &amp; Gas · Logística · Equipos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76" w:hanging="259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76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Marco de Colaboración y Desarrollo de Negocios</dc:title>
  <dc:creator>Andes Mining Assets</dc:creator>
  <cp:lastModifiedBy>Un-named</cp:lastModifiedBy>
  <cp:revision>1</cp:revision>
  <dcterms:created xsi:type="dcterms:W3CDTF">2026-08-15T16:10:02.776Z</dcterms:created>
  <dcterms:modified xsi:type="dcterms:W3CDTF">2026-08-15T16:10:02.791Z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